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民建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  <w:t>山西省委会预决算公开管理制度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为推进和规范预决算信息公开工作，强化社会监督，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提高财政预决算的公开性和透明性，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确保预决算信息公开内容真实准确、清晰易懂，根据财政部《关于深入推进地方预决算公开工作的通知》要求及省财政厅关于做好预决算公开工作的要求，结合我单位实际，制定本制度。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一、公开主体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民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山西省委会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财务负责本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部门预决算公开工作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二、公开内容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（一）财政部门批复的本部门预决算报表。同时，为便于公众理解，还应公开本部门职责、机构设置、数据增减变化的情况说明，并对专业性较强的名词进行解释。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（二）预决算收支情况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包括一般公共预算收支情况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政府性基金预算收支情况、机关运行经费情况等。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（三）“三公”经费预决算。公开本单位“三公”经费财政拨款预决算总额和分项数额，对增减变化的原因进行说明。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（四）政府采购情况。如年初未安排政府采购预算，应有文字说明。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（五）本部门绩效目标及绩效管理情况。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（六）资产管理信息，包括占有使用国有资产的总体情况、分布构成、主要实物资产数据和资产变动情况。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（七）其他按要求应公开的内容。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三、公开时间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按照省财政厅要求的统一公开时间公开。“三公”经费随同预决算一并公开。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四、公开形式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在本部门门户网站公开，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或者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在省财政厅统一公开平台上公开，并保持长期公开状态。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五、公开要求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（一）保证数据公开信息的真实性、准确性、完整性和及时性。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（二）除涉密内容外，部门预决算全部公开到支出功能分类的项级科目，基本支出应按经济分类科目公开到款级。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（三）“三公”经费公开内容都要详细公开，“公务用车购置和运行费”细化公开为“公务用车购置费”和“公务用车运行维护费”。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B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2021-09-14T08:27:27Z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